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AF27" w14:textId="4FC7645A" w:rsidR="002C1A17" w:rsidRPr="00B4397A" w:rsidRDefault="00B4397A" w:rsidP="002D6FC7">
      <w:pPr>
        <w:rPr>
          <w:rFonts w:ascii="Arial" w:hAnsi="Arial" w:cs="Arial"/>
          <w:sz w:val="24"/>
          <w:szCs w:val="24"/>
        </w:rPr>
      </w:pPr>
      <w:r w:rsidRPr="00B4397A">
        <w:rPr>
          <w:rFonts w:ascii="Arial" w:hAnsi="Arial" w:cs="Arial"/>
          <w:sz w:val="24"/>
          <w:szCs w:val="24"/>
        </w:rPr>
        <w:t>Grupos de comorbidades entram na vacinação bivalente</w:t>
      </w:r>
    </w:p>
    <w:p w14:paraId="5358363B" w14:textId="77777777" w:rsidR="00B4397A" w:rsidRPr="00B4397A" w:rsidRDefault="00B4397A" w:rsidP="002D6FC7">
      <w:pPr>
        <w:rPr>
          <w:rFonts w:ascii="Arial" w:hAnsi="Arial" w:cs="Arial"/>
          <w:sz w:val="24"/>
          <w:szCs w:val="24"/>
        </w:rPr>
      </w:pPr>
    </w:p>
    <w:p w14:paraId="0E325774" w14:textId="2EC21726" w:rsidR="002D6FC7" w:rsidRPr="00B4397A" w:rsidRDefault="00511374" w:rsidP="002D6FC7">
      <w:pPr>
        <w:rPr>
          <w:rFonts w:ascii="Arial" w:hAnsi="Arial" w:cs="Arial"/>
          <w:sz w:val="24"/>
          <w:szCs w:val="24"/>
        </w:rPr>
      </w:pPr>
      <w:r w:rsidRPr="00B4397A">
        <w:rPr>
          <w:rFonts w:ascii="Arial" w:hAnsi="Arial" w:cs="Arial"/>
          <w:sz w:val="24"/>
          <w:szCs w:val="24"/>
        </w:rPr>
        <w:t>Boletim</w:t>
      </w:r>
      <w:r w:rsidR="00B4397A" w:rsidRPr="00B4397A">
        <w:rPr>
          <w:rFonts w:ascii="Arial" w:hAnsi="Arial" w:cs="Arial"/>
          <w:sz w:val="24"/>
          <w:szCs w:val="24"/>
        </w:rPr>
        <w:t xml:space="preserve"> </w:t>
      </w:r>
      <w:r w:rsidRPr="00B4397A">
        <w:rPr>
          <w:rFonts w:ascii="Arial" w:hAnsi="Arial" w:cs="Arial"/>
          <w:sz w:val="24"/>
          <w:szCs w:val="24"/>
        </w:rPr>
        <w:t>mais recente aponta pouca variação de casos, 6</w:t>
      </w:r>
      <w:r w:rsidR="00B4397A">
        <w:rPr>
          <w:rFonts w:ascii="Arial" w:hAnsi="Arial" w:cs="Arial"/>
          <w:sz w:val="24"/>
          <w:szCs w:val="24"/>
        </w:rPr>
        <w:t>.515</w:t>
      </w:r>
      <w:r w:rsidRPr="00B4397A">
        <w:rPr>
          <w:rFonts w:ascii="Arial" w:hAnsi="Arial" w:cs="Arial"/>
          <w:sz w:val="24"/>
          <w:szCs w:val="24"/>
        </w:rPr>
        <w:t xml:space="preserve"> confirmados, </w:t>
      </w:r>
      <w:r w:rsidR="00B4397A">
        <w:rPr>
          <w:rFonts w:ascii="Arial" w:hAnsi="Arial" w:cs="Arial"/>
          <w:sz w:val="24"/>
          <w:szCs w:val="24"/>
        </w:rPr>
        <w:t>6.420 recuperados</w:t>
      </w:r>
      <w:r w:rsidRPr="00B4397A">
        <w:rPr>
          <w:rFonts w:ascii="Arial" w:hAnsi="Arial" w:cs="Arial"/>
          <w:sz w:val="24"/>
          <w:szCs w:val="24"/>
        </w:rPr>
        <w:t xml:space="preserve"> e um ativo</w:t>
      </w:r>
      <w:r w:rsidR="00B4397A" w:rsidRPr="00B4397A">
        <w:rPr>
          <w:rFonts w:ascii="Arial" w:hAnsi="Arial" w:cs="Arial"/>
          <w:sz w:val="24"/>
          <w:szCs w:val="24"/>
        </w:rPr>
        <w:t xml:space="preserve">; ninguém internado; 94 </w:t>
      </w:r>
      <w:r w:rsidRPr="00B4397A">
        <w:rPr>
          <w:rFonts w:ascii="Arial" w:hAnsi="Arial" w:cs="Arial"/>
          <w:sz w:val="24"/>
          <w:szCs w:val="24"/>
        </w:rPr>
        <w:t xml:space="preserve"> </w:t>
      </w:r>
      <w:r w:rsidR="00B4397A" w:rsidRPr="00B4397A">
        <w:rPr>
          <w:rFonts w:ascii="Arial" w:hAnsi="Arial" w:cs="Arial"/>
          <w:sz w:val="24"/>
          <w:szCs w:val="24"/>
        </w:rPr>
        <w:t>óbitos</w:t>
      </w:r>
    </w:p>
    <w:p w14:paraId="085B7432" w14:textId="77777777" w:rsidR="00B4397A" w:rsidRPr="00B4397A" w:rsidRDefault="00B4397A" w:rsidP="002D6FC7">
      <w:pPr>
        <w:rPr>
          <w:rFonts w:ascii="Arial" w:hAnsi="Arial" w:cs="Arial"/>
          <w:sz w:val="24"/>
          <w:szCs w:val="24"/>
        </w:rPr>
      </w:pPr>
    </w:p>
    <w:p w14:paraId="518F6664" w14:textId="35B6A275" w:rsidR="002D6FC7" w:rsidRPr="00B4397A" w:rsidRDefault="002D6FC7" w:rsidP="002D6FC7">
      <w:pPr>
        <w:rPr>
          <w:rFonts w:ascii="Arial" w:hAnsi="Arial" w:cs="Arial"/>
          <w:sz w:val="24"/>
          <w:szCs w:val="24"/>
        </w:rPr>
      </w:pPr>
      <w:r w:rsidRPr="00B4397A">
        <w:rPr>
          <w:rFonts w:ascii="Arial" w:hAnsi="Arial" w:cs="Arial"/>
          <w:sz w:val="24"/>
          <w:szCs w:val="24"/>
        </w:rPr>
        <w:t>A Secretaria de Saúde informa que amanhã (25) será de vacinação contra a Covid para todos os grupos a partir dos 12 anos. As doses monovalentes são aquelas até 3ª ou 4ª aplicações, dependendo do público-alvo. No interior segue a orientação do enfermeiro local.</w:t>
      </w:r>
    </w:p>
    <w:p w14:paraId="105E8FD3" w14:textId="77777777" w:rsidR="00B4397A" w:rsidRPr="00B4397A" w:rsidRDefault="00B4397A" w:rsidP="002D6FC7">
      <w:pPr>
        <w:rPr>
          <w:rFonts w:ascii="Arial" w:hAnsi="Arial" w:cs="Arial"/>
          <w:sz w:val="24"/>
          <w:szCs w:val="24"/>
        </w:rPr>
      </w:pPr>
    </w:p>
    <w:p w14:paraId="560CCFCC" w14:textId="1547C0B9" w:rsidR="002D6FC7" w:rsidRPr="00B4397A" w:rsidRDefault="002D6FC7" w:rsidP="002D6FC7">
      <w:pPr>
        <w:rPr>
          <w:rFonts w:ascii="Arial" w:hAnsi="Arial" w:cs="Arial"/>
          <w:sz w:val="24"/>
          <w:szCs w:val="24"/>
        </w:rPr>
      </w:pPr>
      <w:r w:rsidRPr="00B4397A">
        <w:rPr>
          <w:rFonts w:ascii="Arial" w:hAnsi="Arial" w:cs="Arial"/>
          <w:sz w:val="24"/>
          <w:szCs w:val="24"/>
        </w:rPr>
        <w:t xml:space="preserve"> Já as bivalentes são de uma nova geração de proteção contra o Coronavírus, e por enquanto estão liberadas aos idosos com 60 anos ou mais, trabalhadores da Saúde e agora os grupos conhecidos como comorbidades, os diabéticos, hipertensos, com pneumopatias graves, doenças neurológicas, hematológicas e hepáticas.   </w:t>
      </w:r>
    </w:p>
    <w:p w14:paraId="68CCD8CC" w14:textId="77777777" w:rsidR="00B4397A" w:rsidRPr="00B4397A" w:rsidRDefault="00B4397A" w:rsidP="002D6FC7">
      <w:pPr>
        <w:rPr>
          <w:rFonts w:ascii="Arial" w:hAnsi="Arial" w:cs="Arial"/>
          <w:sz w:val="24"/>
          <w:szCs w:val="24"/>
        </w:rPr>
      </w:pPr>
    </w:p>
    <w:p w14:paraId="77F77C23" w14:textId="40F1319B" w:rsidR="002D6FC7" w:rsidRPr="00B4397A" w:rsidRDefault="002D6FC7" w:rsidP="002D6FC7">
      <w:pPr>
        <w:rPr>
          <w:rFonts w:ascii="Arial" w:hAnsi="Arial" w:cs="Arial"/>
          <w:sz w:val="24"/>
          <w:szCs w:val="24"/>
        </w:rPr>
      </w:pPr>
      <w:r w:rsidRPr="00B4397A">
        <w:rPr>
          <w:rFonts w:ascii="Arial" w:hAnsi="Arial" w:cs="Arial"/>
          <w:sz w:val="24"/>
          <w:szCs w:val="24"/>
        </w:rPr>
        <w:t>A carteirinha, o CPF e o cartão SUS serão exigidos no endereço Rua Polônia, 882, em frente ao portão do Cemag, das 8h às 11h30 e das 13h às 16h. Em maio serão mais três datas confirmadas, nos dias 2, 16 e 30.</w:t>
      </w:r>
      <w:r w:rsidR="00511374" w:rsidRPr="00B4397A">
        <w:rPr>
          <w:rFonts w:ascii="Arial" w:hAnsi="Arial" w:cs="Arial"/>
          <w:sz w:val="24"/>
          <w:szCs w:val="24"/>
        </w:rPr>
        <w:t xml:space="preserve"> Não haverá exigência quanto à comprovação da situação de comorbidade, sendo suficiente a </w:t>
      </w:r>
      <w:r w:rsidR="00B4397A" w:rsidRPr="00B4397A">
        <w:rPr>
          <w:rFonts w:ascii="Arial" w:hAnsi="Arial" w:cs="Arial"/>
          <w:sz w:val="24"/>
          <w:szCs w:val="24"/>
        </w:rPr>
        <w:t>autodeclaração</w:t>
      </w:r>
      <w:r w:rsidR="00511374" w:rsidRPr="00B4397A">
        <w:rPr>
          <w:rFonts w:ascii="Arial" w:hAnsi="Arial" w:cs="Arial"/>
          <w:sz w:val="24"/>
          <w:szCs w:val="24"/>
        </w:rPr>
        <w:t>.</w:t>
      </w:r>
    </w:p>
    <w:p w14:paraId="740EE922" w14:textId="77777777" w:rsidR="00511374" w:rsidRPr="00B4397A" w:rsidRDefault="00511374" w:rsidP="002D6FC7">
      <w:pPr>
        <w:rPr>
          <w:rFonts w:ascii="Arial" w:hAnsi="Arial" w:cs="Arial"/>
          <w:sz w:val="24"/>
          <w:szCs w:val="24"/>
        </w:rPr>
      </w:pPr>
    </w:p>
    <w:p w14:paraId="1988BC21" w14:textId="77777777" w:rsidR="00511374" w:rsidRPr="00B4397A" w:rsidRDefault="00511374" w:rsidP="002D6FC7">
      <w:pPr>
        <w:rPr>
          <w:rFonts w:ascii="Arial" w:hAnsi="Arial" w:cs="Arial"/>
          <w:sz w:val="24"/>
          <w:szCs w:val="24"/>
        </w:rPr>
      </w:pPr>
    </w:p>
    <w:p w14:paraId="0F166254" w14:textId="77777777" w:rsidR="00511374" w:rsidRPr="00B4397A" w:rsidRDefault="00511374" w:rsidP="002D6FC7">
      <w:pPr>
        <w:rPr>
          <w:rFonts w:ascii="Arial" w:hAnsi="Arial" w:cs="Arial"/>
          <w:sz w:val="24"/>
          <w:szCs w:val="24"/>
        </w:rPr>
      </w:pPr>
    </w:p>
    <w:p w14:paraId="31EBB006" w14:textId="77777777" w:rsidR="00511374" w:rsidRPr="00B4397A" w:rsidRDefault="00511374" w:rsidP="002D6FC7">
      <w:pPr>
        <w:rPr>
          <w:rFonts w:ascii="Arial" w:hAnsi="Arial" w:cs="Arial"/>
          <w:sz w:val="24"/>
          <w:szCs w:val="24"/>
        </w:rPr>
      </w:pPr>
    </w:p>
    <w:p w14:paraId="267CDE8C" w14:textId="77777777" w:rsidR="002D6FC7" w:rsidRPr="00B4397A" w:rsidRDefault="002D6FC7" w:rsidP="002D6FC7">
      <w:pPr>
        <w:rPr>
          <w:rFonts w:ascii="Arial" w:hAnsi="Arial" w:cs="Arial"/>
          <w:sz w:val="24"/>
          <w:szCs w:val="24"/>
        </w:rPr>
      </w:pPr>
    </w:p>
    <w:p w14:paraId="00145FE0" w14:textId="77777777" w:rsidR="002D6FC7" w:rsidRPr="00B4397A" w:rsidRDefault="002D6FC7" w:rsidP="002D6FC7">
      <w:pPr>
        <w:rPr>
          <w:rFonts w:ascii="Arial" w:hAnsi="Arial" w:cs="Arial"/>
          <w:sz w:val="24"/>
          <w:szCs w:val="24"/>
        </w:rPr>
      </w:pPr>
    </w:p>
    <w:sectPr w:rsidR="002D6FC7" w:rsidRPr="00B43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20AF" w14:textId="77777777" w:rsidR="002C1A17" w:rsidRDefault="002C1A17" w:rsidP="002C1A17">
      <w:pPr>
        <w:spacing w:after="0" w:line="240" w:lineRule="auto"/>
      </w:pPr>
      <w:r>
        <w:separator/>
      </w:r>
    </w:p>
  </w:endnote>
  <w:endnote w:type="continuationSeparator" w:id="0">
    <w:p w14:paraId="5835B435" w14:textId="77777777" w:rsidR="002C1A17" w:rsidRDefault="002C1A17" w:rsidP="002C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EC6E" w14:textId="77777777" w:rsidR="002C1A17" w:rsidRDefault="002C1A17" w:rsidP="002C1A17">
      <w:pPr>
        <w:spacing w:after="0" w:line="240" w:lineRule="auto"/>
      </w:pPr>
      <w:r>
        <w:separator/>
      </w:r>
    </w:p>
  </w:footnote>
  <w:footnote w:type="continuationSeparator" w:id="0">
    <w:p w14:paraId="1311C3DA" w14:textId="77777777" w:rsidR="002C1A17" w:rsidRDefault="002C1A17" w:rsidP="002C1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17"/>
    <w:rsid w:val="001C0A2A"/>
    <w:rsid w:val="0029598A"/>
    <w:rsid w:val="002C1A17"/>
    <w:rsid w:val="002D6FC7"/>
    <w:rsid w:val="003345D7"/>
    <w:rsid w:val="004F1613"/>
    <w:rsid w:val="00511374"/>
    <w:rsid w:val="005B4016"/>
    <w:rsid w:val="007C4087"/>
    <w:rsid w:val="00B26B06"/>
    <w:rsid w:val="00B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3ECF"/>
  <w15:docId w15:val="{946DE348-45BC-4131-A259-BBB1A1B1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1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A17"/>
  </w:style>
  <w:style w:type="paragraph" w:styleId="Rodap">
    <w:name w:val="footer"/>
    <w:basedOn w:val="Normal"/>
    <w:link w:val="RodapChar"/>
    <w:uiPriority w:val="99"/>
    <w:unhideWhenUsed/>
    <w:rsid w:val="002C1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2</cp:revision>
  <dcterms:created xsi:type="dcterms:W3CDTF">2023-04-24T16:59:00Z</dcterms:created>
  <dcterms:modified xsi:type="dcterms:W3CDTF">2023-04-24T16:59:00Z</dcterms:modified>
</cp:coreProperties>
</file>